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60" w:line="384" w:before="300"/>
        <w:contextualSpacing w:val="0"/>
        <w:rPr/>
      </w:pPr>
      <w:bookmarkStart w:id="0" w:colFirst="0" w:name="h.tt76aj3qc2y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Gálatas 12 -- De regreso a la esclavitud -- El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" w:colFirst="0" w:name="h.e52idhagtbay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 Tentación constante: Regresar a la esclavitud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La tentación constante para el hijo o la hija de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Es regresar a la esclavitud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 buscar su valor en sus obras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Obras religiosas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Vamos del legalismo moral, a adopción como hijos de Dios, al legalismo religioso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" w:colFirst="0" w:name="h.2n4hiinc2lh8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Gálatas 4:4-11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es esclavitud basar nuestro valor en nuestras obras?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rescata Jesús de esta esclavitud?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algunos ejemplos de los legalismos religiosos (en los cuales podríamos poner nuestra esperanza de ser buenos)?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" w:colFirst="0" w:name="h.2ue1v9mthn7o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Idea grande: Sólo Jesús -- no la religiosidad -- nos hace ser buenos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4" w:colFirst="0" w:name="h.bxcvrjwcewr8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Jesús y la religiosidad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5" w:colFirst="0" w:name="h.j6wijvjw1o3t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 Marcos 7:1-23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6" w:colFirst="0" w:name="h.r13zbmc58zrs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Marcos 8:14-21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7" w:colFirst="0" w:name="h.w511i0rsumza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 Marcos 11:15-19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8" w:colFirst="0" w:name="h.1f0e7wam13j" w:colLast="0"/>
      <w:bookmarkEnd w:id="8"/>
      <w:r w:rsidRPr="00000000" w:rsidR="00000000" w:rsidDel="00000000">
        <w:rPr>
          <w:color w:val="333333"/>
          <w:highlight w:val="white"/>
          <w:rtl w:val="0"/>
        </w:rPr>
        <w:t xml:space="preserve"> Marcos 12:28-34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te llama la atención de cómo Jesús enfrentaba la religiosidad de su día?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ser cómo Jesús en cuanto a la religiosidad hoy día?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9" w:colFirst="0" w:name="h.bjv8f68zvtdo" w:colLast="0"/>
      <w:bookmarkEnd w:id="9"/>
      <w:r w:rsidRPr="00000000" w:rsidR="00000000" w:rsidDel="00000000">
        <w:rPr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tus obras o hábitos religiosos en que estás tentado a poner tu confianza?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para poner tu confianza en Jesús para hallar tu valor en Él?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¿Dejar de confiar en cómo practicas tu religión?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¿Tomar la decisión de entregarte a Él (Hechos 2:38)?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12 Estudio.docx</dc:title>
</cp:coreProperties>
</file>