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s8vkhonkjtsq" w:id="0"/>
      <w:bookmarkEnd w:id="0"/>
      <w:r w:rsidDel="00000000" w:rsidR="00000000" w:rsidRPr="00000000">
        <w:rPr>
          <w:sz w:val="42"/>
          <w:szCs w:val="42"/>
          <w:rtl w:val="0"/>
        </w:rPr>
        <w:t xml:space="preserve">The Stories in History #9 — Life of Death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mvbyen4x00t7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Death surround us in all forms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Physical death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fear death? 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Internal death — the burdens we carry within us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7:15-20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or when do you see the evil inside you?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Eternal death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2:1-11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dreadful to think about the final judgment and the eternal condemnation?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90z0hzg597j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 brings life to death?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4:1-25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 we learn from God in this reading?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give us life?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the life that God gave Abraham have to do with the life He offers to us?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does He gives us life?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this life changes us?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51bo3dgxna4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How do we need to respond to the life that God offers us?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2:37-41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enter into this life?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11:33-36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attitude should we have when we have this life?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Mark 16:15-16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need to share this life?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What do you need to do?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