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0" w:colFirst="0" w:name="h.ae39zkjiku0j" w:colLast="0"/>
      <w:bookmarkEnd w:id="0"/>
      <w:r w:rsidRPr="00000000" w:rsidR="00000000" w:rsidDel="00000000">
        <w:rPr>
          <w:highlight w:val="white"/>
          <w:rtl w:val="0"/>
        </w:rPr>
        <w:t xml:space="preserve">Mateo 1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zez08xreno9y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Grande: Somos parte de una cadena de personas que Dios está salvando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7guc9rfnz6no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Ejemplos de cómo funciona esta cadena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Tito 1:4 y 1 Timoteo 1:1-2 y 2 Timoteo 2:1-10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Tesalonicenses 2:1-12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Gálatas 4:19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Colosenses 1:3 y 1:9-11 y 1:24-2:3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eq98to7ln6n3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Piensa en los que te guiaron a Cristo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¿Puedes compartir algo de cómo lo hicieron?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o1dvio3pzwc4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Piensa en las personas en tu vida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¿Estás activamente guiando a alguien (algunos)?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(por orar persistente mente, invertir en amistad, estudiar)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¿Puedes compartir algo de cómo lo estás guiando?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¿Quién(es) es(son) las personas en tu vida que no estás guiando, pero deberías?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b60rikqg8p8h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Próximo paso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que es tan importante tomar tu propia decisión de seguir a Cristo para poder llevar a otros al Salvador?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ser usado más por Dios para guiar a otros a Cristo?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 Estudio.docx</dc:title>
</cp:coreProperties>
</file>