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qknl78j20w4c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Mateo #38 Estudio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b8pu0shfzuha" w:id="1"/>
      <w:bookmarkEnd w:id="1"/>
      <w:r w:rsidDel="00000000" w:rsidR="00000000" w:rsidRPr="00000000">
        <w:rPr>
          <w:rtl w:val="0"/>
        </w:rPr>
        <w:t xml:space="preserve">Nuestro problema: Muchas veces, nuestra oración es una lista de peticiones y exigencias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wlfpn76v9lc0" w:id="2"/>
      <w:bookmarkEnd w:id="2"/>
      <w:r w:rsidDel="00000000" w:rsidR="00000000" w:rsidRPr="00000000">
        <w:rPr>
          <w:rtl w:val="0"/>
        </w:rPr>
        <w:t xml:space="preserve">Idea grande: La oración es mucho más que sólo pedir para nosotros mismos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l3efva9ey2ua" w:id="3"/>
      <w:bookmarkEnd w:id="3"/>
      <w:r w:rsidDel="00000000" w:rsidR="00000000" w:rsidRPr="00000000">
        <w:rPr>
          <w:rtl w:val="0"/>
        </w:rPr>
        <w:t xml:space="preserve">Un modelo para la oración de las oraciones de los primeros Cristianos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Hechos 4:24-31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te llama la atención de lo que oraron?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Romanos 1:8-15 y Romanos 11:33-36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te llama la atención de lo que oró?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1 Corintios 1:4-9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te llama la atención de lo que oró?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2 Corintios 1:9-11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te llama la atención de lo que oró?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Efesios 1:15-23, Efesios 3:14-21 y Efesios 6:18-20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te llama la atención de lo que oró?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Filipenses 1:3-11, Filipenses 1:19-20 y Filipenses 4:6-7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te llama la atención de lo que oró?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Colosenses 1:3-14 y Colosenses 4:2-6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te llama la atención de lo que oró?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1 Tesalonicenses 1:2-3 y 2 Tesalonicenses 1:3-12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te llama la atención de lo que oró?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1 Timoteo 1:12-17 y 1 Timoteo 2:1-8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te llama la atención de lo que oró y de su instrucción acerca de la oració?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Filemón 1:4-7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te llama la atención de lo que oró?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Hebreos 13:18-19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te llama la atención de esta descripción de la oración?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Santiago 1:2-5 y Santiago 5:13-20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te llama la atención de lo que dice que deben pedir en la oración?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8otgc0207n92" w:id="4"/>
      <w:bookmarkEnd w:id="4"/>
      <w:r w:rsidDel="00000000" w:rsidR="00000000" w:rsidRPr="00000000">
        <w:rPr>
          <w:color w:val="333333"/>
          <w:highlight w:val="white"/>
          <w:rtl w:val="0"/>
        </w:rPr>
        <w:t xml:space="preserve">Aplicación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tiene que ver tomar la decisión de seguir a Cristo con orar a Dios como Padre?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podrías cambiar tu oración para que sea más como estas oraciones?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