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601163uw6w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6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g78d6k2hphng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¿Qué hacemos cuando hay tragedias?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tragedias que nos han pasado o que nos podrían pasar?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formas en que reaccionamos mal en los momentos difíciles?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dxz7w1vil7o5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grande: Dios es Dios, aun en la tragédia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más te cuesta creer de Dios en medio de las malas circunstancias?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mw6abnlngjbl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La historia de Job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Job 1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Job 2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pasó a Job?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¿Quiénes eran algunas de las diferentes personas o seres que causaron sus problemas?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respondió Job?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Job 38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Dios?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podemos saber de Dios en medio de nuestras tragedias y malas circunstancias?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Job 42:1-6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fue cambiado Job por ver a Dios en medio de su tragedia?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styjsgtscw1q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buscar a Dios más en medio de las malas circunstancias de tu vida?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¿Recibirlo por Padre por decidir entregarte a Él por arrepentirte y bautizarte?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¿Creer lo que sabes es cierto de Él, aun cuando no entiendes o la vida es muy difícil?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¿Arrepentirte de alejarte de Dios en las malas circunstancias?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¿Arrepentirte de buscar a Dios en la tragedia solo para que te cambie la situación?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6 Estudio.docx</dc:title>
</cp:coreProperties>
</file>