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9uocyh7qbtaz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#81 Gracia Soberana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ja7xgddia68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cxopsaa504q8" w:id="2"/>
      <w:bookmarkEnd w:id="2"/>
      <w:r w:rsidDel="00000000" w:rsidR="00000000" w:rsidRPr="00000000">
        <w:rPr>
          <w:highlight w:val="white"/>
          <w:rtl w:val="0"/>
        </w:rPr>
        <w:t xml:space="preserve">Idea Grande: Dios extiende gracia a quien Él quiere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gbg0ifvo5o0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e2iez3w5um64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Dios salva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11:25-27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1 y 2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cómo Dios nos salva?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hace sentir ver la obra salvadora de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one4trp93mt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q36fqesuebm3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Respondemos a Dios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2:38-41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13:48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respondemos a Dios en la salvación?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necesario responder de esa forma?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3:1-17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respondemos a la gracia de Dios después de recibir esta salvación?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_wq0sjtjvlrw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_jm2iyh3wr57j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¿Cómo puedes entregarte más al Dios quien salva soberanamente?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