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360" w:firstLine="0"/>
        <w:jc w:val="center"/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</w:rPr>
      </w:pPr>
      <w:bookmarkStart w:colFirst="0" w:colLast="0" w:name="_2daabr8mf09b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  <w:rtl w:val="0"/>
        </w:rPr>
        <w:t xml:space="preserve">Navidad 2023: Contemplamos al Rey que Vino a Salvarnos — Estudio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3hxekuj0zpv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wg86mqszgzyt" w:id="2"/>
      <w:bookmarkEnd w:id="2"/>
      <w:r w:rsidDel="00000000" w:rsidR="00000000" w:rsidRPr="00000000">
        <w:rPr>
          <w:rtl w:val="0"/>
        </w:rPr>
        <w:t xml:space="preserve">Mateo 1:18-25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dijo el ángel?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¿Y qué podemos aprender de la reacción de José a lo que dijo el ángel?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seu9b9830hx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4s1srpdbs9tg" w:id="4"/>
      <w:bookmarkEnd w:id="4"/>
      <w:r w:rsidDel="00000000" w:rsidR="00000000" w:rsidRPr="00000000">
        <w:rPr>
          <w:rtl w:val="0"/>
        </w:rPr>
        <w:t xml:space="preserve">Juan 1:1-36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Quién y cómo es Cristo?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las razones por las cuales Jesús entró en el mundo?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debemos responder a Jesús?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u7ekltt5qsq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y7htfuoyo7qj" w:id="6"/>
      <w:bookmarkEnd w:id="6"/>
      <w:r w:rsidDel="00000000" w:rsidR="00000000" w:rsidRPr="00000000">
        <w:rPr>
          <w:rtl w:val="0"/>
        </w:rPr>
        <w:t xml:space="preserve">2 Corintios 3:7-4:6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a veces no vemos ni apreciamos la gloria de Cristo?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podemos llegar a ver y adorar a Jesús?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tedezq82sj9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beax4swibmr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pgafbgnquwhi" w:id="9"/>
      <w:bookmarkEnd w:id="9"/>
      <w:r w:rsidDel="00000000" w:rsidR="00000000" w:rsidRPr="00000000">
        <w:rPr>
          <w:rtl w:val="0"/>
        </w:rPr>
        <w:t xml:space="preserve">Aplicación: Por lo que hoy leímos, ¿Qué debemos hacer?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No-Cristiano: ¿Qué te impide de entregarte al Salvador que vino por arrepentirte y bautizarte?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Cristiano: ¿Qué necesitas hacer para entregarte más a tu Salvador?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