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jjap0kvzv3mn" w:id="0"/>
      <w:bookmarkEnd w:id="0"/>
      <w:r w:rsidDel="00000000" w:rsidR="00000000" w:rsidRPr="00000000">
        <w:rPr>
          <w:rtl w:val="0"/>
        </w:rPr>
        <w:t xml:space="preserve">¿Por qué? Las preguntas que nos hacen miserables #11 — ¿Por qué hay muerte?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urmr356n5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gozte8voecy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La historia de Lázaro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11:1-44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la muerte en esta historia?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la reacción humana a la muerte?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Cómo sentimos cuando oímos de la muerte de alguien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qué sentimos así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qué tememos a la muerte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del poder de Jesús en esta historia?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la vida eterna en esta historia?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7ovvkdx45h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90wae41r4xr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Destino eterno de los hijos de Dios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Tesalonicenses 4:13-18 Apocalipsis 21:1-7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la vida después de la muerte para los que son hijos de Dios?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zq7cxihpxl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07re9io3lne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Destino eterno de los que no se han entregado a Jesús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20:11-15 y 21:8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la muerte en esta texto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destino eterno de una persona que no se encuentra en Jesús?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pnlrzc64b6w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br w:type="textWrapping"/>
        <w:t xml:space="preserve">Aplicación: ¿Cómo debemos responder a la muerte?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5"/>
        <w:rPr/>
      </w:pPr>
      <w:bookmarkStart w:colFirst="0" w:colLast="0" w:name="_2qjmbmza8k4j" w:id="8"/>
      <w:bookmarkEnd w:id="8"/>
      <w:r w:rsidDel="00000000" w:rsidR="00000000" w:rsidRPr="00000000">
        <w:rPr>
          <w:rtl w:val="0"/>
        </w:rPr>
        <w:t xml:space="preserve">¿Cómo debemos responder a la muerte de un no-Cristiano?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siempre queremos decir que todos van al cielo?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¿Es cierto?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5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/>
      </w:pPr>
      <w:bookmarkStart w:colFirst="0" w:colLast="0" w:name="_oc4doo1b745z" w:id="9"/>
      <w:bookmarkEnd w:id="9"/>
      <w:r w:rsidDel="00000000" w:rsidR="00000000" w:rsidRPr="00000000">
        <w:rPr>
          <w:rtl w:val="0"/>
        </w:rPr>
        <w:t xml:space="preserve">¿Cómo debemos responder a la muerte de un Cristiano?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actitud debemos tener?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5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/>
      </w:pPr>
      <w:bookmarkStart w:colFirst="0" w:colLast="0" w:name="_k86cung7syrh" w:id="10"/>
      <w:bookmarkEnd w:id="10"/>
      <w:r w:rsidDel="00000000" w:rsidR="00000000" w:rsidRPr="00000000">
        <w:rPr>
          <w:rtl w:val="0"/>
        </w:rPr>
        <w:t xml:space="preserve">¿Cómo debemos prepararnos para nuestra muerte?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 hacer uno que es cristiano para preparar su muerte?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 hacer uno que no es cristiano para prepararse para su muerte?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5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rPr/>
      </w:pPr>
      <w:bookmarkStart w:colFirst="0" w:colLast="0" w:name="_6o7u1r3bxdnm" w:id="11"/>
      <w:bookmarkEnd w:id="11"/>
      <w:r w:rsidDel="00000000" w:rsidR="00000000" w:rsidRPr="00000000">
        <w:rPr>
          <w:rtl w:val="0"/>
        </w:rPr>
        <w:t xml:space="preserve">¿Qué necesitas hacer tu para preparte para el día de tu muerte?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