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e3prme8ofnuw" w:id="0"/>
      <w:bookmarkEnd w:id="0"/>
      <w:r w:rsidDel="00000000" w:rsidR="00000000" w:rsidRPr="00000000">
        <w:rPr>
          <w:rtl w:val="0"/>
        </w:rPr>
        <w:t xml:space="preserve">Ser como… #12 — Ser como Ezequiel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razones por las que nos cuesta hablar el Evangelio?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j4jccgs9sfdh" w:id="1"/>
      <w:bookmarkEnd w:id="1"/>
      <w:r w:rsidDel="00000000" w:rsidR="00000000" w:rsidRPr="00000000">
        <w:rPr>
          <w:rtl w:val="0"/>
        </w:rPr>
        <w:t xml:space="preserve">Ezequiel 2, 3 y 33:1-20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ejemplo de Ezequiel?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lo que Dios dijo a Ezequiel?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zg5woplzhu4a" w:id="2"/>
      <w:bookmarkEnd w:id="2"/>
      <w:r w:rsidDel="00000000" w:rsidR="00000000" w:rsidRPr="00000000">
        <w:rPr>
          <w:rtl w:val="0"/>
        </w:rPr>
        <w:t xml:space="preserve">Jeremías 1 y 15:15-21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¿Qué aprendemos del ejemplo de Jeremías?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¿Qué nos enseña lo que Dios dijo a Jeremías?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83bsh58hsa81" w:id="3"/>
      <w:bookmarkEnd w:id="3"/>
      <w:r w:rsidDel="00000000" w:rsidR="00000000" w:rsidRPr="00000000">
        <w:rPr>
          <w:rtl w:val="0"/>
        </w:rPr>
        <w:t xml:space="preserve">Isaías 6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¿Qué aprendemos del ejemplo de Isaías?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¿Qué nos enseña lo que Dios dijo a Isaías?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yu8p81q3yfow" w:id="4"/>
      <w:bookmarkEnd w:id="4"/>
      <w:r w:rsidDel="00000000" w:rsidR="00000000" w:rsidRPr="00000000">
        <w:rPr>
          <w:rtl w:val="0"/>
        </w:rPr>
        <w:t xml:space="preserve">Aplicación: ¿Qué puedes hacer para imitar a Ezequiel, Isaías y Jeremías y hablar el Evangelio con valor?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