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gqxk0qk9gw2e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12 — Estudio</w:t>
        <w:br w:type="textWrapping"/>
        <w:t xml:space="preserve">Continuar Cómo Empezamos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6y33n613zi9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q2b4kvhcma1g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Nos cuesta continuar el camino del seguidor de Cristo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razones por las cuales dejamos de seguir a Cristo?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cosas que nos hacen seguir a Jesús con menos pasión y entrega?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has tenido que luchar para no abandonar tu fe?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4qkdjoectwu1" w:id="3"/>
      <w:bookmarkEnd w:id="3"/>
      <w:r w:rsidDel="00000000" w:rsidR="00000000" w:rsidRPr="00000000">
        <w:rPr>
          <w:highlight w:val="white"/>
          <w:rtl w:val="0"/>
        </w:rPr>
        <w:t xml:space="preserve">Texto: Colosenses 2:6-7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Cómo entramos es cómo continuamos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9qub0q6qlirc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¿Cómo recibimos al Señor?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8:8-17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2:1-10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2:37-41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diferentes partes del proceso de llegar a ser Cristiano?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k9smu7yr8brr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¿Cómo continuamos de la misma que empezamos?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seguimos escuchando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Hebreos 4:12-13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tan importante?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escuchar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 cuando escuchamos a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seguir confesando y arrepentiéndonos?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Juan 1:5-10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7:9-10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a quiénes confesamos?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confesar nuestra maldad?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arrepentirnos?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7qkyw7djq5nc" w:id="6"/>
      <w:bookmarkEnd w:id="6"/>
      <w:r w:rsidDel="00000000" w:rsidR="00000000" w:rsidRPr="00000000">
        <w:rPr>
          <w:highlight w:val="white"/>
          <w:rtl w:val="0"/>
        </w:rPr>
        <w:t xml:space="preserve">Aplicación: Empezar y continuar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empezar, y tomar tu decisión de entregarte a Jesús por confesar tu maldad, arrepentirte y bautizarte?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has tomado esta decisión, ¿Qué necesitas hacer para continuar con más entrega y pasión?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escuchar más a Dios por leer su palabra en tu vida diaria?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confesar y arrepentirte más?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