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160" w:before="0" w:line="384.00000000000006" w:lineRule="auto"/>
        <w:ind w:left="300" w:right="300" w:firstLine="0"/>
        <w:contextualSpacing w:val="0"/>
        <w:jc w:val="center"/>
        <w:rPr>
          <w:sz w:val="36"/>
          <w:szCs w:val="36"/>
          <w:highlight w:val="white"/>
        </w:rPr>
      </w:pPr>
      <w:bookmarkStart w:colFirst="0" w:colLast="0" w:name="_50o5m3ffoe45" w:id="0"/>
      <w:bookmarkEnd w:id="0"/>
      <w:r w:rsidDel="00000000" w:rsidR="00000000" w:rsidRPr="00000000">
        <w:rPr>
          <w:sz w:val="36"/>
          <w:szCs w:val="36"/>
          <w:highlight w:val="white"/>
          <w:rtl w:val="0"/>
        </w:rPr>
        <w:t xml:space="preserve">Colosenses 28 — El fin de los ismos — Estudio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r9hodq3x30wy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Hacemos distinciones y discriminamos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¿Cuáles son algunas de las distinciones que hacemos entre las personas?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¿Cuándo has sentido discriminado?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* ¿Cómo te sientes cuando te tratan con discriminación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¿Cuáles son los prejuicios que tu tienes?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¿Cuáles son las diferentes clases de personas que te molestan o irritan?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tratamos a las diferentes clases de personas que nos molestan o que estimamos que son menos que nosotros?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* ¿Cómo justificamos este mal trato?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2zx8aimy38zo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Colosenses 3:9-10, 11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dice este texto acerca de cómo debemos vernos los unos a los otros?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¿Por qué no existen estas distinciones en la familia de Dios?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26dcmhipjqeq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Santiago 2:1-13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dice este texto de la discriminación y el distinguir entre las personas?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dice de la importancia del mandamiento de amarnos?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qhvns1d68qyn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Colosenses 3:11 y 2 Corintios 5:11-21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Idea Grande: En la familia de Dios, sólo hay una distinción que importa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¿Cuál es la única distinción que debemos ver entre las las personas?</w:t>
      </w:r>
    </w:p>
    <w:p w:rsidR="00000000" w:rsidDel="00000000" w:rsidP="00000000" w:rsidRDefault="00000000" w:rsidRPr="00000000">
      <w:r w:rsidDel="00000000" w:rsidR="00000000" w:rsidRPr="00000000">
        <w:rPr>
          <w:rtl w:val="0"/>
        </w:rPr>
        <w:t xml:space="preserve">¿Cómo tratamos a la gente cuando vemos sólo esta distinción?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highlight w:val="white"/>
        </w:rPr>
      </w:pPr>
      <w:bookmarkStart w:colFirst="0" w:colLast="0" w:name="_umgh88aserm1" w:id="5"/>
      <w:bookmarkEnd w:id="5"/>
      <w:r w:rsidDel="00000000" w:rsidR="00000000" w:rsidRPr="00000000">
        <w:rPr>
          <w:highlight w:val="white"/>
          <w:rtl w:val="0"/>
        </w:rPr>
        <w:t xml:space="preserve">Aplicación: Ver a la gente como Dios la ve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Hijos o alejados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sypxtfe7zev1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No-Cristiano: Entrar en la familia de Dios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que pienses que te hace ser bueno o mejor que otros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vale nada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Recibe lo único que te pone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un estado elevado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Aceptar la identidad de Cristo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Ser hijo de Dios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Aceptándolo como tu Señor y Salvador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cxwsq5unem6b" w:id="7"/>
      <w:bookmarkEnd w:id="7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Cristiano: Ver a la gente como Dios la ve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Ver a los demás con las dos categorías que tienen Dios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¿Cómo?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Reconocer que sientes las diferencias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Rechazar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pecado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Pedir, orar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Por ti y por la persona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Sonreír y saludar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sientes esa sensación de disgusto, pensar: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mi hermano hijo de mi padre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 necesita ser adoptado por mi padre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4"/>
        <w:szCs w:val="24"/>
        <w:highlight w:val="white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20" w:before="220" w:line="276" w:lineRule="auto"/>
        <w:ind w:left="1020" w:right="30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