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sieuxdv7gd5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Conocido por Dios -- Estudio 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Conocer a y ser conocido por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El Problema: Nadie nos conoce del todo, y nos escondemos aun de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Idea Grande: No podemos escondernos de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Aplicación: Debemos abrirnos a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w8l7a1f9wzex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Jonás y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weejb2cwxhkq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Jonás 1:1-17 -- Huyendo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nosotros por ver a lo que hizo Jonás?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Dios en esta historia?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ha dicho Dios que no quieres hacer?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y cuándo huyes o te escondes de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nqnaxqwdq9fa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Jonás 2:1-10 -- Abriéndose a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podemos aprender de cómo debemos abrirnos a Dios?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lo que Dios hace cuando nos abrimos a Él?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5lxmeum9gn7k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Próximo paso: ¿Qué necesitas hacer para abrirte más a Dios?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Tomar la decisión de seguirle y entregarte a Él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Abrirte con Él y confesarle algo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Tomar la decisión de pasar más tiempo con Él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Orando, meditando, leyendo, ayunando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Invitarle a decirte qué quiere Él que cambies</w:t>
      </w:r>
    </w:p>
    <w:p w:rsidP="00000000" w:rsidRPr="00000000" w:rsidR="00000000" w:rsidDel="00000000" w:rsidRDefault="00000000">
      <w:pPr>
        <w:spacing w:lineRule="auto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¿Qué necesitas hacer para buscar a Dios más?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Conocido por Dios Estudio 1.docx</dc:title>
</cp:coreProperties>
</file>