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i5189xvk0ba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15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5yqwl74jt0m0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Problema #1: Hablar de misión de Jesús choca con nuestra egoismo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Queremos que enfocarnos en nuestra misión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Acumular dinero o posesiones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Éxito en el trabajo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La familia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Nuestros pasatiempos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Deportes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Buscamos una iglesia cómoda, que no exige tanto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Mis gustos, preferencias, y la gente que me cae bien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nos damos a la misión de Jesús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proclamamos a Jesús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Perdemos propósito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lo imitamos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¿Cómo has sentido la tensión entre la misión de Cristo y tu misión personal?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r15ovs2267jk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Idea Grande #1: Jesús y sus seguidores se enfocan en los de afuera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4:12-16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Pasan tiempo con los que están lejos de su Padre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Invierten en amistades con ellos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¿Cómo te fue en esta semana?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ybpn9pk8dqwc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Problema #2: Quisiéramos ser proclamar a Jesús con nuestro ejemplo SOLAMENTE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Sin tener que hablar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Nos da miedo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Pensamos en el rechazo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sabes ni cuándo ni cómo ni qué decir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El ejemplo de nuestra vida es sumamente importante en nuestra proclamación de Jesús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es suficiente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¿Por qué crees que nuestro ejemplo no es suficiente para compartir Jesús con otros?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w2fprzt06m9t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Idea Grande #2: El seguidor de Jesús proclama el Evangelio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4:17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Hay dos partes del mensaje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El Reino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La decisión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qz0rg5ibams7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Proclamamos el Reino de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Marcos 1:14-15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2:22-36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3:13-18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4:8-12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8:26-35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¿Cuál es el mensaje del Reino de Dios?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¿Cómo podemos proclamar el Reino de Dios a nuestros amigos que están lejos de Dios?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c9iny2ghk0mv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Proclamamos la decisión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2:37-41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3:19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8:12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8:36-38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16:23-34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¿Cuál es la decisión que tenemos que proclamar?</w:t>
      </w:r>
      <w:r w:rsidRPr="00000000" w:rsidR="00000000" w:rsidDel="00000000">
        <w:rPr>
          <w:color w:val="333333"/>
          <w:highlight w:val="white"/>
          <w:rtl w:val="0"/>
        </w:rPr>
        <w:t xml:space="preserve"> (poner nuestra confianza en Jesús, y entregarnos a Él por arrepentirnos y bautizarnos)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¿Cómo podemos proclamar esta decisión con nuestros amigos que están lejos de Dios?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w9lz0vpish7c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Aplicación: ¿Cómo ponemos esto en práctica?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¿A quién puedes proclamar el Reino y la decisión?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¿Quién es la próxima persona para ti?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le vas a proclamar el Evangelio (el Reino y la decisión)?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Si no has tomado tu decisión: ¿Qué te detiene de entregarte a Jesús por arrepentirte y bautizarte?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lineRule="auto" w:after="0" w:before="0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15 Estudio.docx</dc:title>
</cp:coreProperties>
</file>