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rmx834g6bcs8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16: La Historia Explica Todo -- El Estudio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Idea Grande #1: Jesús y sus seguidores se enfocan en los de afuera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Idea Grande #2: El seguidor de Jesús proclama el Evangelio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El Problema: Nos cuesta saber cómo explicar todo el Evangelio bien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" w:colFirst="0" w:name="h.tcl6jzk57owu" w:colLast="0"/>
      <w:bookmarkEnd w:id="1"/>
      <w:r w:rsidRPr="00000000" w:rsidR="00000000" w:rsidDel="00000000">
        <w:rPr>
          <w:highlight w:val="white"/>
          <w:rtl w:val="0"/>
        </w:rPr>
        <w:t xml:space="preserve">Idea Grande #3: La historia explica el Evangelio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La clave para comunicar el Evangelio es conocer la historia y saber cómo conectar la vida con la historia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hkv1b8y5bgsi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Conocerla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Cuatro palabras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xan1eoye29ae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Creación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Génesis 1:1-2:3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de las características de la creación?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sabemos de Dios y del hombre por la creación?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" w:colFirst="0" w:name="h.xh497m4klysc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Rebeldía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Génesis 3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ocurrió en la rebeldía?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cambió por la rebeldía?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Dios y del hombre por la rebeldía?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" w:colFirst="0" w:name="h.jjtoxs4c4rev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Reconciliación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5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pasa en la reconciliación?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funciona la reconciliación?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entramos en la reconciliación?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6" w:colFirst="0" w:name="h.ik0hxr68ytxa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Restauración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Apocalypsis 21: 1-8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será la restauración?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se parecen la restauración y la creación?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ndsgeczgx756" w:colLast="0"/>
      <w:bookmarkEnd w:id="7"/>
      <w:r w:rsidRPr="00000000" w:rsidR="00000000" w:rsidDel="00000000">
        <w:rPr>
          <w:highlight w:val="white"/>
          <w:rtl w:val="0"/>
        </w:rPr>
        <w:t xml:space="preserve">Aplicación: Conectar la historia a la vida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Por hallar su búsqueda por la conexión con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Por hallar lo quebrado en su vida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Por identificar cómo busca hallar satisfacción, propósito y gozo, y cómo intenta a resolver todo en su vida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Por invitarlo a entrar en la reconciliación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maneras o formas en que nosotros podemos hacer esto?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puedes comunicar esta historia a alguien en tu vida?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lineRule="auto" w:after="0" w:before="0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16 Estudio.docx</dc:title>
</cp:coreProperties>
</file>