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2m5hjvv9m681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53 Conocer a Cristo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0u5qvld89bb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Pensamos </w:t>
        <w:tab/>
        <w:t xml:space="preserve">que si estamos alrededor de Dios, estamos bien con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reemplazamos a Dios con la religión?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tka2rtgft6t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Seguir a Cristo es conocer a Cristo y ser conocido por Él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hu1phtwmj6v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Mateo 7:21-23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qué te hace pensar este texto?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peligro de estar alrededor de Dios, pero no conocer a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guardarnos de este peligro?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zdpwbc8f7sr2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Marcos 7:1-23 y Lucas 11:37-54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más fácil ser religioso que tener una relación íntima con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gtlpq6qslbi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Salmos 63:1-8 y Salmos 42:1-11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llegar a conocer más a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mk86f3il1vev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Dedicarte a vivir cerca de Jesús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wus2w8yptle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Entrar en la relación con Jesús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tomar la decisión de seguir a Jesús por arrepentirte y bautizarte?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2ghcw5slhqg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Dedicarte a conocer a, y ser conocido por, Cristo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profundizar más tu vida devocional con Jesús?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