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bpeq58m1z7xk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9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itoxdbl1f6dw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Buscamos aprobación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quiénes dependes para recibir aprobación?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cosas (buenas o malas) que haces o has hecho para recibir aprobación?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di7rtcttg5vw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Aprobado por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pensas y sientes cuando escuchas la idea grande: El Padre aprueba de sus hijos?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lc4e44skug5e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Mateo 3:13-17 -- La aprobación que Jesús recibió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aprobó de Jesús?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b77eq2q9dbl8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Efesios 2:1-22 -- El Evangelio y la aprobación de Dios para nosotros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piensas cuando escuchas que si eres su hijo, el Padre aprueba de ti?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es que recibimos la aprobación del Padre en Cristo?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creer y sentir esto?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¿Explica por qué el Evangelio nos consigue la aprobación del Padre?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bdmayk92ilxt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vivirás diferentemente si creyeras más en la aprobación del Padre?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¿Tendrías más valor, entrega,obediencia?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vivir con la aprobación del Padre?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¿Recibirla por tomar la decisión de entregarte a Él por arrepentirte y bautizarte?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¿Recordar a, y creer en, la aprobación que tienes en Cristo?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b w:val="0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9 Estudio.docx</dc:title>
</cp:coreProperties>
</file>