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3zxg9apfjry8" w:id="0"/>
      <w:bookmarkEnd w:id="0"/>
      <w:r w:rsidDel="00000000" w:rsidR="00000000" w:rsidRPr="00000000">
        <w:rPr>
          <w:rtl w:val="0"/>
        </w:rPr>
        <w:t xml:space="preserve">Mejores Preguntas #4 — ¿Cómo puedo llegar a ser más como Cristo?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h625njv7h8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krkltasgmab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Nos acercamos demasiado al pecado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si quisiéramos ver qué tan cerca a la desobediencia podemos estar, sin cruzar la línea, sin ser castigados o sin que otros se den cuenta.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5:1-11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imaginas que justificaban su pecado?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los pecados a los cuales te acercas?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acercamos al pecado?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acercamos?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lo justificamos?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reb4dddm0g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55qavzfqeqm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Es peligroso acercarnos a la desobediencia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3:7-4:1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peligros acercarnos al pecado?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lvu99cd54f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hvillyjseyr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¿Qué dice Dios que debemos hacer en cuanto al pecado?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5:3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2:22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4:8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huir del pecado?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manda a huir del pecado?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wiw87e5i0ka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Una mejor pregunta: ¿Cómo puedo llegar a ser más como Jesús en esta área de mi vida?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8:29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3:18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4:13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1:16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2:6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aspirar a ser más y más como Cristo?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como Jesús?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cambia hacer la pregunta: Cómo puedo llegar a ser más como Jesús?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(en vez de ¿Qué tiene de malo lo que estoy haciendo?)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hlfmbvvtho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8kpcy8jwzdd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1q69n8f1zz8" w:id="10"/>
      <w:bookmarkEnd w:id="10"/>
      <w:r w:rsidDel="00000000" w:rsidR="00000000" w:rsidRPr="00000000">
        <w:rPr>
          <w:color w:val="333333"/>
          <w:rtl w:val="0"/>
        </w:rPr>
        <w:t xml:space="preserve">No-Cristiano: Entrar en Cristo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mejor forma de llegar a ser más como Cristo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entrar en el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Nacer de nuevo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 su Espíritu por adentro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Inmediatamente serás la perfección de Dios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su Espíritu te hará llegar a vivir así más y más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akxeioz7piu" w:id="11"/>
      <w:bookmarkEnd w:id="11"/>
      <w:r w:rsidDel="00000000" w:rsidR="00000000" w:rsidRPr="00000000">
        <w:rPr>
          <w:color w:val="333333"/>
          <w:rtl w:val="0"/>
        </w:rPr>
        <w:t xml:space="preserve">Cristiano: Hacerte esta pregunta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línea?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línea al cual siempre te acercas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cambiaría?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hicieras la pregunta: ¿Cómo puedo llegar a ser más como Jesús?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esta área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sería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se miraría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hicieras este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reto: Decida que vivirás así en esta área de tu vida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