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396ducp24xey" w:id="0"/>
      <w:bookmarkEnd w:id="0"/>
      <w:r w:rsidDel="00000000" w:rsidR="00000000" w:rsidRPr="00000000">
        <w:rPr>
          <w:rtl w:val="0"/>
        </w:rPr>
        <w:t xml:space="preserve">¿Por qué? Las preguntas que nos hacen miserables #5 — ¿Por qué oramos si de todas formas Dios hace su voluntad?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47nsty96ag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wcq0cmh6c8nz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Podríamos sentir que no importará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oramos o no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Dios va a hacer su voluntad de todas formas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¿Alguna vez has pensado esto?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p31lgjoxa6p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9s993it885l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Oramos porque orar es conversar con nuestro Padre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Mateo 6:5-13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Jesús en este texto?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¿De como es Dios?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¿De por qué oramos?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¿De cómo debemos orar?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Salmos 145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llamó atención de su conversación con Dios?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como David conversaba con Dios?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cambiamos cuando hablamos con Dios?</w:t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xdybxzfugvny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alyyh335gofd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Oramos porque Dios suelte su poder cuando sus hijos le hablan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Santiago 5:16-18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el poder de la oración?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¿Quiénes tienen este poder?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4:23-31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su oración?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oraron?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pidieron?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dijeron a Dios?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hizo Dios en respuesta a su oración?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msk125muchs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czb2ckbs9a0w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w15d49r4fgk2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e6l6qn4y2heo" w:id="10"/>
      <w:bookmarkEnd w:id="10"/>
      <w:r w:rsidDel="00000000" w:rsidR="00000000" w:rsidRPr="00000000">
        <w:rPr>
          <w:color w:val="333333"/>
          <w:rtl w:val="0"/>
        </w:rPr>
        <w:t xml:space="preserve">No-Cristiano: Entrar en una relación con el Padre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que cuando oras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Estés hablando con tu Padre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Entras en su familia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5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Llegas a ser su hijo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Amado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Quien puede entrar en su presencia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Invitado a buscarlo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cuando oras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Estarás hablando con tu Padre</w:t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x9m31t3ur7si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qpz4gekivrvg" w:id="12"/>
      <w:bookmarkEnd w:id="12"/>
      <w:r w:rsidDel="00000000" w:rsidR="00000000" w:rsidRPr="00000000">
        <w:rPr>
          <w:color w:val="333333"/>
          <w:rtl w:val="0"/>
        </w:rPr>
        <w:t xml:space="preserve">Cristiano: Hablar más con tu Padre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puedes hacer para orar más?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Poner tiempos fijos en que oras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la mañana, la noche, etc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Hacer una lista de peticiones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oras repetidamente por meses y años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Desarrollar la disciplina de conversar espontáneamente con Él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Durante el día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Cada vez que vas al teléfono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Hablar con él primero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Cada vez que empiezas a manejar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Cada vez que sientes estrés o preocupación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